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Percorso formativo disciplinare</w:t>
      </w:r>
    </w:p>
    <w:p w:rsidR="00000000" w:rsidDel="00000000" w:rsidP="00000000" w:rsidRDefault="00000000" w:rsidRPr="00000000" w14:paraId="00000002">
      <w:pPr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 LINGUA E LETTERATURA ITALIANA</w:t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rtl w:val="0"/>
        </w:rPr>
        <w:t xml:space="preserve"> 4F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LICEO DELLE SCIENZE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 scolastico 2022/2023</w:t>
      </w:r>
    </w:p>
    <w:p w:rsidR="00000000" w:rsidDel="00000000" w:rsidP="00000000" w:rsidRDefault="00000000" w:rsidRPr="00000000" w14:paraId="00000005">
      <w:pPr>
        <w:spacing w:after="240" w:lineRule="auto"/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Prof.ssa Ilaria Sebastiani</w:t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LIBRI DI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7"/>
        </w:numPr>
        <w:ind w:left="72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Dante e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Divina Commedia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vedi edizione consigliata.</w:t>
      </w:r>
    </w:p>
    <w:p w:rsidR="00000000" w:rsidDel="00000000" w:rsidP="00000000" w:rsidRDefault="00000000" w:rsidRPr="00000000" w14:paraId="0000000C">
      <w:pPr>
        <w:ind w:left="720" w:firstLine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7"/>
        </w:numPr>
        <w:ind w:left="72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Storia della letteratura italiana: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Giuseppe Langella, Pierantonio Frare, Paolo Gresti, Uberto Motta,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Amor mi mosse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, Pearson Italia - Edizioni Scolastiche Bruno Mondadori, Torino 2019, volumi 2, “Umanesimo, Rinascimento, Manierismo”, e vol. 3, “Dal Barocco all’età dell’Illuminismo”.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CONTENUTI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Dante,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Divina Commedia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(N.B.: dove non altrimenti indicato, si intendono parafrasi e commento integrali; di tutte le parti non direttamente lette si è data e richiesta sintesi)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8"/>
        </w:numPr>
        <w:ind w:left="72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Completamento dell’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Inferno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XXVII, vv. 1-33 e 61-78 (Guido da Montefeltro);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sintesi del canto XXVIII e vv. 118-142 (Bertrando del Bornio);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sintesi dei canti XXIX, XXX e XXXI;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XXXII, vv. 124-139, e XXXIII, vv. 1-90 (il conte Ugolino e l’invettiva contro Pisa), e 118-157 (Frate Alberigo e l’invettiva contro Genova);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XXXIV (Lucifero; il superamento del centro della Terra e la riemersione in superficie).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Purgatorio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la topografia materiale e simbolica, il paesaggio, la condizione delle anime e l’ordinamento morale;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I (Catone);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II (l’angelo nocchiero; Casella e il potere della musica);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III, vv. 22-45 (i corpi fittizi delle anime e i limiti della conoscenza umana) e 103-145 (Manfredi);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IV, vv. 88-139 (la natura della montagna; Belacqua);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V, vv. 1-18 e 43-136 (Jacopo del Cassero, Bonconte da Montefeltro, Pia dei Tolomei).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VI, vv. 1-12 (il gioco della zara) e 76-151 (lamento per le condizioni dell’Italia; l’instabilità di Firenze);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sintesi dei canti VII-X;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XI, vv. 1-36 (il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Padre Nostro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dei superbi) e 73-142 (Oderisi da Gubbio);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sintesi dei canti XII-XIII;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XIV, vv. 1-57 (Guido del Duca e Rinieri da Calboli; la valle dell’Arno come inferno in terra);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sintesi dei canti XV-XVIII;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canto XIX, vv. 1-36 (il sogno della “femmina balba”).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Storia della letteratura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Quattrocento e Cinquecento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Amor mi mosse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, vol.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La visione umanistico-rinascimentale: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introduzione alla dinamica uomo-fortuna: il capitolo XXV del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Principe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di Niccolò Machiavelli (pp. 207-212);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1440" w:hanging="36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cronologia, ideologia, antropologia e pedagogia umanistiche; il recupero dei classici e il contributo decisivo della filologia (pp. 10-13, 20-21, 23, 25-27).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Giovanni Pico della Mirandola, “La libertà e la responsabilità dell’uomo” (dall’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Oratio de hominis dignitate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pp. 24-25);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Lorenzo Valla, "La filologia madre della verità" (da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De falso credita et ementita Constantini donatione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pp. 21-20).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questione della lingua nel Quattrocento e nel Cinquecento; la proposta di Pietro Bembo (pp. 40-42); il fenomeno del petrarchismo. 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poesia in volgare del XV secolo a Firenze: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lirica nel primo Quattrocento e il Certame Coronario (p. 76);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secondo Quattrocento: Lorenzo de’ Medici, Luigi Pulci e Angelo Poliziano (pp. 77-78 e 117-119).</w:t>
      </w:r>
    </w:p>
    <w:p w:rsidR="00000000" w:rsidDel="00000000" w:rsidP="00000000" w:rsidRDefault="00000000" w:rsidRPr="00000000" w14:paraId="0000003B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Lorenzo de’ Medici,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Canzona di Bacco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83-87);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Angelo Poliziano, “La bellezza di Simonetta” (dalle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Stanze per la giostra del magnifico Giuliano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libro I, ottave 40-46, pp. 91-96)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Luigi Pulci, “Valori e ideali del gigante Margutte” (dal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Morgante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canto XVIII, ottave 112-120, pp. 122-126).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Ludovico Ariosto: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(pp. 300-304 e sintesi pp. 428-430);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Orlando furioso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323-331).</w:t>
      </w:r>
    </w:p>
    <w:p w:rsidR="00000000" w:rsidDel="00000000" w:rsidP="00000000" w:rsidRDefault="00000000" w:rsidRPr="00000000" w14:paraId="00000043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“Il proemio (canto I, ottave 1-4, pp. 332-335)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pazzia di Orlando” (canto XXIII, ottave 100-115 e 121-135; canto XXIV, ottave 1-3, pp. 394-406);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“Astolfo sulla luna” (canto XXXIV, ottave 69-85, pp. 408-414);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“Angelica e Sacripante" (canto I, ottave 37-60, pp. 345-350).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Niccolò Machiavelli:</w:t>
      </w:r>
    </w:p>
    <w:p w:rsidR="00000000" w:rsidDel="00000000" w:rsidP="00000000" w:rsidRDefault="00000000" w:rsidRPr="00000000" w14:paraId="0000004A">
      <w:pPr>
        <w:numPr>
          <w:ilvl w:val="0"/>
          <w:numId w:val="29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(pp. 142-146 e sintesi pp. 246-247);</w:t>
      </w:r>
    </w:p>
    <w:p w:rsidR="00000000" w:rsidDel="00000000" w:rsidP="00000000" w:rsidRDefault="00000000" w:rsidRPr="00000000" w14:paraId="0000004B">
      <w:pPr>
        <w:numPr>
          <w:ilvl w:val="0"/>
          <w:numId w:val="29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Il principe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De principatibus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pp. 159-165).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dedica a Lorenzo de’ Medici” (pp. 167-169);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virtù e la forza dei principi nuovi” (cap. VI, pp. 177-181);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“L’etica del principe” (cap. XV, pp. 192-195);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forza e l’astuzia del principe” (cap. XVIII, pp. 196-200);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“Virtù e fortuna nella lotta politica” (ripresa e integrazione del cap. XXV, pp. 207-212);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“Il manifesto del pensiero politico di Machiavelli” (cap. XXVI, pp. 213-218).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30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Francesco Guicciardini:</w:t>
      </w:r>
    </w:p>
    <w:p w:rsidR="00000000" w:rsidDel="00000000" w:rsidP="00000000" w:rsidRDefault="00000000" w:rsidRPr="00000000" w14:paraId="00000054">
      <w:pPr>
        <w:numPr>
          <w:ilvl w:val="0"/>
          <w:numId w:val="31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(pp. 252-256 e sintesi pp. 293-294);</w:t>
      </w:r>
    </w:p>
    <w:p w:rsidR="00000000" w:rsidDel="00000000" w:rsidP="00000000" w:rsidRDefault="00000000" w:rsidRPr="00000000" w14:paraId="00000055">
      <w:pPr>
        <w:numPr>
          <w:ilvl w:val="0"/>
          <w:numId w:val="31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Ricordi (pp. 259-262); Testi: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difficilissima arte della discrezione” (pp. 263-264, nn. 6, 35, 76, 110, 117, 126: impossibilità di ricavare regole dalla storia, critica all’efficacia dei modelli e della teoria);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“L’ambigua natura degli uomini” (pp. 269-272, nn. 15, 17, 41, 70, 201; n. 28, condanna della corruzione clericale);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fortuna, il caso, la prudenza” (pp. 266-268, nn. 30, 78, 147).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3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Manierismo (“Una contestazione dall’interno”, pp. 446-447, 450 e 452-453).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33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Torquato Tasso:</w:t>
      </w:r>
    </w:p>
    <w:p w:rsidR="00000000" w:rsidDel="00000000" w:rsidP="00000000" w:rsidRDefault="00000000" w:rsidRPr="00000000" w14:paraId="0000005D">
      <w:pPr>
        <w:numPr>
          <w:ilvl w:val="0"/>
          <w:numId w:val="23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(pp. 512-515 e sintesi pp. 609-610);</w:t>
      </w:r>
    </w:p>
    <w:p w:rsidR="00000000" w:rsidDel="00000000" w:rsidP="00000000" w:rsidRDefault="00000000" w:rsidRPr="00000000" w14:paraId="0000005E">
      <w:pPr>
        <w:numPr>
          <w:ilvl w:val="0"/>
          <w:numId w:val="23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Gerusalemme liberata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(pp. 525-534). Testi:</w:t>
      </w:r>
    </w:p>
    <w:p w:rsidR="00000000" w:rsidDel="00000000" w:rsidP="00000000" w:rsidRDefault="00000000" w:rsidRPr="00000000" w14:paraId="0000005F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“Il proemio” (canto I, ottave 1-5, pp. 535-536 e analisi pp. 538-540);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“Il discorso di Satana” (canto IV, ottave 6-18);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“Tancredi nella selva di Saron” (canto XIII, ottave 32-46).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Seicento e Settecento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Amor mi mosse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vol.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2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Barocco (“Alla ricerca del nuovo”, pp. 8-9, 12-13, 15); le caratteristiche e i temi della poesia barocca. </w:t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Ciro di Pers,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Orologio a ruote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82-83).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A">
      <w:pPr>
        <w:numPr>
          <w:ilvl w:val="0"/>
          <w:numId w:val="25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Giovan Battista Marino:</w:t>
      </w:r>
    </w:p>
    <w:p w:rsidR="00000000" w:rsidDel="00000000" w:rsidP="00000000" w:rsidRDefault="00000000" w:rsidRPr="00000000" w14:paraId="0000006B">
      <w:pPr>
        <w:numPr>
          <w:ilvl w:val="0"/>
          <w:numId w:val="26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(pp. 138-140 e sintesi pp. 174-175);</w:t>
      </w:r>
    </w:p>
    <w:p w:rsidR="00000000" w:rsidDel="00000000" w:rsidP="00000000" w:rsidRDefault="00000000" w:rsidRPr="00000000" w14:paraId="0000006C">
      <w:pPr>
        <w:numPr>
          <w:ilvl w:val="0"/>
          <w:numId w:val="26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Adone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155-157).</w:t>
      </w:r>
    </w:p>
    <w:p w:rsidR="00000000" w:rsidDel="00000000" w:rsidP="00000000" w:rsidRDefault="00000000" w:rsidRPr="00000000" w14:paraId="0000006D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“Elogio della rosa” (pp. 160-162, canto III, ottave 156-161).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27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classicismo barocco all’Accademia dell’Arcadia; la poesia arcadica (pp. 249-251 e 272).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28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Giuseppe Parini:</w:t>
      </w:r>
    </w:p>
    <w:p w:rsidR="00000000" w:rsidDel="00000000" w:rsidP="00000000" w:rsidRDefault="00000000" w:rsidRPr="00000000" w14:paraId="00000073">
      <w:pPr>
        <w:numPr>
          <w:ilvl w:val="0"/>
          <w:numId w:val="19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dell’autore (sintesi pp. 541-544);</w:t>
      </w:r>
    </w:p>
    <w:p w:rsidR="00000000" w:rsidDel="00000000" w:rsidP="00000000" w:rsidRDefault="00000000" w:rsidRPr="00000000" w14:paraId="00000074">
      <w:pPr>
        <w:numPr>
          <w:ilvl w:val="0"/>
          <w:numId w:val="19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concetto illuministico della letteratura (“L’utilità del sapere e l’impegno degli intellettuali”, pp. 264-267);</w:t>
      </w:r>
    </w:p>
    <w:p w:rsidR="00000000" w:rsidDel="00000000" w:rsidP="00000000" w:rsidRDefault="00000000" w:rsidRPr="00000000" w14:paraId="00000075">
      <w:pPr>
        <w:numPr>
          <w:ilvl w:val="0"/>
          <w:numId w:val="19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poesia pariniana (la lirica civile, pp. 273-274; le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Odi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pp. 489-490). Testo: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caduta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(dalle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Odi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pp. 497-502).</w:t>
      </w:r>
    </w:p>
    <w:p w:rsidR="00000000" w:rsidDel="00000000" w:rsidP="00000000" w:rsidRDefault="00000000" w:rsidRPr="00000000" w14:paraId="00000076">
      <w:pPr>
        <w:numPr>
          <w:ilvl w:val="0"/>
          <w:numId w:val="19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Il Giorno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505-510). Testi:</w:t>
      </w:r>
    </w:p>
    <w:p w:rsidR="00000000" w:rsidDel="00000000" w:rsidP="00000000" w:rsidRDefault="00000000" w:rsidRPr="00000000" w14:paraId="00000077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“Il precettore e il Giovin Signore” 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Il Mattino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1763, vv. 1-45, pp. 511-512, e analisi pp. 515-516);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vergine cuccia” 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Il Mezzogiorno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1765, vv. 503-556, pp. 525-528).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7A">
      <w:pPr>
        <w:numPr>
          <w:ilvl w:val="0"/>
          <w:numId w:val="20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Sintesi: il teatro dal XVI al XVII secolo; la Commedia dell’Arte (pp. 31-32) e il melodramma (pp. 131-132).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C">
      <w:pPr>
        <w:numPr>
          <w:ilvl w:val="0"/>
          <w:numId w:val="2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Pietro Metastasio e la “riforma” del melodramma (p. 279).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“Enea comunica la propria partenza a Didone” (dalla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Didone abbandonata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atto primo, scene XVII-XVIII, pp. 285-290).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0">
      <w:pPr>
        <w:numPr>
          <w:ilvl w:val="0"/>
          <w:numId w:val="2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Carlo Goldoni e la “riforma” della commedia: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dell’autore (sintesi pp. 273-275);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principi e le fasi della riforma goldoniana (pp. 281 e 373-374);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locandiera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379-383).</w:t>
      </w:r>
    </w:p>
    <w:p w:rsidR="00000000" w:rsidDel="00000000" w:rsidP="00000000" w:rsidRDefault="00000000" w:rsidRPr="00000000" w14:paraId="00000084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lettura integrale, incluso l’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Avviso a chi legge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(pp. 384-455).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Vittorio Alfieri: 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vita e opere (pp. 549-553 e sintesi pp. 628-630);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tragedia alfieriana (pp. 555-559, “Tradizione e novità” e “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Saul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”);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l’eroe alfieriano e l’autobiografismo (p. 609, “Le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Rime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- Un’autobiografia in versi”).</w:t>
      </w:r>
    </w:p>
    <w:p w:rsidR="00000000" w:rsidDel="00000000" w:rsidP="00000000" w:rsidRDefault="00000000" w:rsidRPr="00000000" w14:paraId="0000008A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Tacito orror di solitaria selva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dalle Rime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pp. 609-611);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44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“La ‘perplessità’ di Saul” (pp. 563-567, 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Saul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atto secondo, vv. 1-121).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Preromanticismo e il Romanticismo: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aspetti e temi fondamentali;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Sturm un Drang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“ossianesimo”, poesia sepolcrale e romanzo gotico;</w:t>
      </w:r>
    </w:p>
    <w:p w:rsidR="00000000" w:rsidDel="00000000" w:rsidP="00000000" w:rsidRDefault="00000000" w:rsidRPr="00000000" w14:paraId="00000091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George Gordon Byron,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Manfred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(esposizioni dei lavori di gruppo; materiali su Classroom).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Ancona, 13 giugno 2023</w:t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docente</w:t>
      </w:r>
    </w:p>
    <w:p w:rsidR="00000000" w:rsidDel="00000000" w:rsidP="00000000" w:rsidRDefault="00000000" w:rsidRPr="00000000" w14:paraId="0000009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Prof.ssa Ilaria Sebastiani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708"/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4597400" cy="278607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606" l="0" r="0" t="0"/>
                  <a:stretch>
                    <a:fillRect/>
                  </a:stretch>
                </pic:blipFill>
                <pic:spPr>
                  <a:xfrm>
                    <a:off x="0" y="0"/>
                    <a:ext cx="4597400" cy="2786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783495" cy="115785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18" l="0" r="0" t="0"/>
                  <a:stretch>
                    <a:fillRect/>
                  </a:stretch>
                </pic:blipFill>
                <pic:spPr>
                  <a:xfrm>
                    <a:off x="0" y="0"/>
                    <a:ext cx="3783495" cy="11578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9356CE"/>
    <w:pPr>
      <w:suppressAutoHyphens w:val="1"/>
      <w:autoSpaceDN w:val="0"/>
      <w:spacing w:line="240" w:lineRule="auto"/>
      <w:jc w:val="left"/>
      <w:textAlignment w:val="baseline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E08C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 w:val="1"/>
    <w:rsid w:val="00AE08C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E08C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E08C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Zt+PoXztyhnL7G4LROFyZ5KUQ==">CgMxLjA4AHIhMWh3a1h4U2ltWjVYdTViUnlGR3BQR0IwWTh0aS1GcHlh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2023-06-12T10:10:00Z</dcterms:created>
  <dc:creator>alegi</dc:creator>
</cp:coreProperties>
</file>